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F1A7" w14:textId="0C5FE3C6" w:rsidR="00531FA2" w:rsidRPr="00531FA2" w:rsidRDefault="00340B7E" w:rsidP="00531FA2">
      <w:pPr>
        <w:pStyle w:val="ab"/>
        <w:numPr>
          <w:ilvl w:val="0"/>
          <w:numId w:val="4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531FA2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 xml:space="preserve">Дәріс - </w:t>
      </w:r>
      <w:r w:rsidR="00531FA2" w:rsidRPr="00531FA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 экономикасын  басқарудың басым бағыттары</w:t>
      </w:r>
    </w:p>
    <w:p w14:paraId="74EB01F2" w14:textId="4EF167E3" w:rsidR="00340B7E" w:rsidRPr="00531FA2" w:rsidRDefault="00340B7E" w:rsidP="00531FA2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B6A22A" w14:textId="77777777" w:rsidR="00340B7E" w:rsidRDefault="00340B7E" w:rsidP="00340B7E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780BD5" w14:textId="77777777" w:rsidR="00340B7E" w:rsidRDefault="00340B7E" w:rsidP="00340B7E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Сұрақтар:</w:t>
      </w:r>
    </w:p>
    <w:p w14:paraId="336ADDD8" w14:textId="7045BB9E" w:rsidR="00340B7E" w:rsidRDefault="00340B7E" w:rsidP="00340B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22823" w:rsidRPr="00531FA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 экономикасын  басқарудың басым бағыттары</w:t>
      </w:r>
    </w:p>
    <w:p w14:paraId="25CD7DCA" w14:textId="5BEDC5ED" w:rsidR="00340B7E" w:rsidRDefault="00340B7E" w:rsidP="00340B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322823" w:rsidRPr="00531FA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аймақтар экономикасын  басқарудың</w:t>
      </w:r>
      <w:r w:rsidR="0032282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тиімділігі</w:t>
      </w:r>
    </w:p>
    <w:p w14:paraId="575F6B73" w14:textId="77777777" w:rsidR="00340B7E" w:rsidRDefault="00340B7E" w:rsidP="00340B7E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4D50C09D" w14:textId="73B61DB8" w:rsidR="00340B7E" w:rsidRDefault="00340B7E" w:rsidP="00322823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82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="00322823" w:rsidRPr="003228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="00322823" w:rsidRPr="00322823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823" w:rsidRPr="0032282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 экономикасын  басқарудың басым бағыттары</w:t>
      </w:r>
      <w:r w:rsidR="0032282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түсіндіру </w:t>
      </w:r>
    </w:p>
    <w:p w14:paraId="2DFA1EDB" w14:textId="77777777" w:rsidR="00340B7E" w:rsidRDefault="00340B7E" w:rsidP="00340B7E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523DD5BC" w14:textId="64D48D75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531FA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ймақтар экономикасын  басқарудың басым бағыттары</w:t>
      </w: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 xml:space="preserve"> жетілдіру үшін:</w:t>
      </w:r>
    </w:p>
    <w:p w14:paraId="293D5C93" w14:textId="77777777" w:rsidR="00322823" w:rsidRPr="00322823" w:rsidRDefault="00322823" w:rsidP="003228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val="kk-KZ" w:eastAsia="ru-RU"/>
        </w:rPr>
      </w:pP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>Орталық пен аймақтардың бюджеттік өкілеттіліктерін шектеу саясатын жалғастыру керек.</w:t>
      </w:r>
    </w:p>
    <w:p w14:paraId="45FB1EFB" w14:textId="77777777" w:rsidR="00322823" w:rsidRDefault="00322823" w:rsidP="003228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val="kk-KZ" w:eastAsia="ru-RU"/>
        </w:rPr>
      </w:pP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>Аймақтарға көмек көрсетудің негізгі принциптері келесілер болуы тиіс:</w:t>
      </w:r>
    </w:p>
    <w:p w14:paraId="32152D9F" w14:textId="4943B81D" w:rsidR="00322823" w:rsidRPr="00322823" w:rsidRDefault="00322823" w:rsidP="0032282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Sans" w:eastAsia="Times New Roman" w:hAnsi="OpenSans" w:cs="Times New Roman"/>
          <w:color w:val="333333"/>
          <w:lang w:val="kk-KZ" w:eastAsia="ru-RU"/>
        </w:rPr>
      </w:pP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>жалпы Республикалық еңбекті бөлудегі аймақтардың перспективалары мен орнын анықтау, жергілікті халықты жұмыспен қамтуға мүмкіндік жасайтын шаруашылық құрылымын құруға орталықтанған қаржылық құрылымдарды бағыттай.</w:t>
      </w:r>
    </w:p>
    <w:p w14:paraId="71840BC5" w14:textId="31DC522F" w:rsidR="00322823" w:rsidRPr="00322823" w:rsidRDefault="00322823" w:rsidP="003228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val="kk-KZ" w:eastAsia="ru-RU"/>
        </w:rPr>
      </w:pPr>
      <w:r>
        <w:rPr>
          <w:rFonts w:ascii="OpenSans" w:eastAsia="Times New Roman" w:hAnsi="OpenSans" w:cs="Times New Roman"/>
          <w:color w:val="333333"/>
          <w:lang w:val="kk-KZ" w:eastAsia="ru-RU"/>
        </w:rPr>
        <w:t>М</w:t>
      </w: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>емлекеттік басқару органдарынан жергілікті органдарға әлеуметтік-экономикалық бағдарламаларды беру кезінде оларды қаржыландыру көлемі азаймау керек.</w:t>
      </w:r>
    </w:p>
    <w:p w14:paraId="71C46AB1" w14:textId="77777777" w:rsidR="00322823" w:rsidRPr="00322823" w:rsidRDefault="00322823" w:rsidP="003228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val="kk-KZ" w:eastAsia="ru-RU"/>
        </w:rPr>
        <w:t xml:space="preserve">Бюджетті әзірлеу барлық облыстар мен аймақтардың әкімнің қатысуымен жүзеге асырылуы керек. </w:t>
      </w: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Сол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кезде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қаржыландырылғанға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мәселелерді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аламыз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173DF852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 </w:t>
      </w:r>
      <w:proofErr w:type="spellStart"/>
      <w:r w:rsidRPr="00322823">
        <w:rPr>
          <w:rFonts w:ascii="OpenSans" w:eastAsia="Times New Roman" w:hAnsi="OpenSans" w:cs="Times New Roman"/>
          <w:color w:val="333333"/>
          <w:u w:val="single"/>
          <w:lang w:eastAsia="ru-RU"/>
        </w:rPr>
        <w:t>Ең</w:t>
      </w:r>
      <w:proofErr w:type="spellEnd"/>
      <w:r w:rsidRPr="00322823">
        <w:rPr>
          <w:rFonts w:ascii="OpenSans" w:eastAsia="Times New Roman" w:hAnsi="OpenSans" w:cs="Times New Roman"/>
          <w:color w:val="333333"/>
          <w:u w:val="single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u w:val="single"/>
          <w:lang w:eastAsia="ru-RU"/>
        </w:rPr>
        <w:t>негізгі</w:t>
      </w:r>
      <w:proofErr w:type="spellEnd"/>
      <w:r w:rsidRPr="00322823">
        <w:rPr>
          <w:rFonts w:ascii="OpenSans" w:eastAsia="Times New Roman" w:hAnsi="OpenSans" w:cs="Times New Roman"/>
          <w:color w:val="333333"/>
          <w:u w:val="single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u w:val="single"/>
          <w:lang w:eastAsia="ru-RU"/>
        </w:rPr>
        <w:t>бағыт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орталық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пен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арасындағы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қаржылық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өзара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қатынас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жасаудың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сптималды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моделін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алу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F6C2A8B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тиімділігі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шаруашылық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етуші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субъектінің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ресурстарына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алуы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жоғары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болған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салтын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артады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сөзбен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айтқанда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қатаң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жүйесі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төменгі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деңгейінің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еркіндігін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шектелген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тиімсіз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бұзып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реттеудің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бұзылуына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әкелді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экономика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қатаң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орталықтандыру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кемшіліктерін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жоюға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негізделген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3A8FEA6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II    МУНИЦИПАЛДЫҚ МЕНЕДЖМЕНТКЕ ТҮСІНІК.</w:t>
      </w:r>
    </w:p>
    <w:p w14:paraId="753DEC36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         </w:t>
      </w:r>
      <w:r w:rsidRPr="00322823">
        <w:rPr>
          <w:rFonts w:ascii="OpenSans" w:eastAsia="Times New Roman" w:hAnsi="OpenSans" w:cs="Times New Roman"/>
          <w:color w:val="333333"/>
          <w:lang w:eastAsia="ru-RU"/>
        </w:rPr>
        <w:t>2.1 МУНИЦИПАЛДЫҚ МЕНЕДЖМЕНТТЕ БҰЛ ЭКОНОМИКАЛЫҚ БІЛІМДЕРІНІҢ СИСТЕМАСЫ.</w:t>
      </w:r>
    </w:p>
    <w:p w14:paraId="639BBF83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 “</w:t>
      </w:r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Менеджмент</w:t>
      </w: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”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түсінігі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қазіргі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кезде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ретінде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нарықтың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талаптарына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сай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жеке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меншікті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формасы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бойынша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меннджмент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ұқсас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690EF402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Қазақстан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Республикасының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Конституциясында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жарияланғандай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DB3CE62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Қазақстан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маңызы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бар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мәселелерді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тұрғын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шешуін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қамтамасыз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ететін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60187C0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тұрғын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тікелей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сайлау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жолымен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сондай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топтары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жинақы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тұратын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қамтитын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селолық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lastRenderedPageBreak/>
        <w:t>қауымдастықтардағы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сайланбалы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арқылы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жүзеге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асырады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3C1BE39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қоса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Қазақстан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Республикасының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конституциясына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сәйкес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ұйымдастыру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тәртібін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белгіленген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өкілеттігі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белгіленген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өкілеттігі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шегінде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кепілдік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беріледі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2AAB52B8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Нарықтың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байланыстардын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даму шал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шандығымен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ірілендіру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процесі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құқықтық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қаржылық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шарттары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жұмыс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істеуін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талап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099137A9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ТМД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елдерінің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үлгісіне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сәйкес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 “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құрылым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”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ауылдық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аумақпен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біріктірілген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жүзеге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меншікті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болу,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бюджет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сайланбалы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ескере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құрылымың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шекарасын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тарихи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жақтарын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қарастыра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белгілейді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23110791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менеджмент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системасы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қоймай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нарықтың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экономиканы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түсініп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соған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толық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жетудегі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мақсатқа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сәйкес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келетін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шешім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Яғни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командылық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әкімшілік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системасының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көріністері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қалдықтар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де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демократиялық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тенейді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5F5C0FDA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Әрине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системасын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бола тура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менеджменте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Қазақстан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Респуликасында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керекті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құқықтық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актілердің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болмауына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дағдарысын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салдарынан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үлкенқиындық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көруде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системанын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тиімділігі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дүние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жүзінің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көптеген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қалаларда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нарықтың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қалыптасуымен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дәлелденген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мақсатқа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лайықтылықпен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69D917A7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пәндер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сияқты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менджментте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терминалогиясын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түсінігін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енгізеді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 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де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болашақ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маман осы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жаңалықтарда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білуге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86D4C5E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  ”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“, ”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“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сияқты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терминдер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өндірістерде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зауыттарда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салаларда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24177ECD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 ”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меншік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“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түсінігі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муниципиялдық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меншігін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білдіреді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меншікпен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—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басшылық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Қазақстан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орган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біріңғай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жүйесіне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кіреді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тиісті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мүддесі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 даму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қажеттілігін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ұштастыра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отырып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биліктің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жалпы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саясатын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жүргізіледі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қамтамасыз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4685158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қарауына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мыналар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жатады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:</w:t>
      </w:r>
    </w:p>
    <w:p w14:paraId="210572C4" w14:textId="77777777" w:rsidR="00322823" w:rsidRPr="00322823" w:rsidRDefault="00322823" w:rsidP="00322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дамыту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жоспарларын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бағдарламарын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бюджетті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әзірлеу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атқарылуын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қамтамасыз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;</w:t>
      </w:r>
    </w:p>
    <w:p w14:paraId="69107BDA" w14:textId="77777777" w:rsidR="00322823" w:rsidRPr="00322823" w:rsidRDefault="00322823" w:rsidP="00322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коммуналдық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меншікті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;</w:t>
      </w:r>
    </w:p>
    <w:p w14:paraId="386C524E" w14:textId="77777777" w:rsidR="00322823" w:rsidRPr="00322823" w:rsidRDefault="00322823" w:rsidP="00322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басшыларын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қызметке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тағайындау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қызметтен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босату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жұмысын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ұйымдарға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де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мәселерді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2E9E5AB2" w14:textId="77777777" w:rsidR="00322823" w:rsidRPr="00322823" w:rsidRDefault="00322823" w:rsidP="00322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lastRenderedPageBreak/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мүддесіне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сай Республика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заңдарымен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жүктелетін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де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өкілеттіктерді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жүзеге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0C0A28C6" w14:textId="77777777" w:rsidR="00322823" w:rsidRPr="00322823" w:rsidRDefault="00322823" w:rsidP="00322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құзыреті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ұйымдастырылуы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тәртібі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бегіленеді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CCAD9B1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өкілетті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маслихаттар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тиісті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әкімшілік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бөліністегі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еркін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білдіреді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жалпы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мүдделерді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ескере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отырып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оны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іске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асыруға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шараларда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белгіленеді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жүзеге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асырылуын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бақылайды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Маслихаттарда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жалпыға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бірдей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тән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төте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сайлауын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құқығы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жасырын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дауыс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беру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арқылы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4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жыл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мерзіміне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сайлайды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0D0E4A20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Маслихатын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қарауына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мыналар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жатады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83E539C" w14:textId="77777777" w:rsidR="00322823" w:rsidRPr="00322823" w:rsidRDefault="00322823" w:rsidP="003228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дамыту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жоспарларын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бағдарламарын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бюджетті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атқарылуы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туралы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есептерді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бекіту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;</w:t>
      </w:r>
    </w:p>
    <w:p w14:paraId="0A1A8B66" w14:textId="77777777" w:rsidR="00322823" w:rsidRPr="00322823" w:rsidRDefault="00322823" w:rsidP="003228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өздерін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қарауына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жатқызылған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әкімшілік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аумақтық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мәселерін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;</w:t>
      </w:r>
    </w:p>
    <w:p w14:paraId="3762881F" w14:textId="77777777" w:rsidR="00322823" w:rsidRPr="00322823" w:rsidRDefault="00322823" w:rsidP="003228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маслихат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құзыретіне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жатқызылған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органдар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есептерін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5A0CCC5A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менеджментте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Ол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менеджменттің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одан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кейбір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маркентигтің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экономика теория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негіздерін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микро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макро экономика, статистика, психология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пәндері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808704A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менеджменттін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ғылыми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зертеледі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ғылыми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әдістер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ішінде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:</w:t>
      </w:r>
    </w:p>
    <w:p w14:paraId="36C88752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 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Монополиялық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талдау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әдісі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даму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деңгейінің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пайдаланылмыған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ресурстарды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тауып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жолдарын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салаларының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қатынастардың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тиімділігін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өткен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мерзімдегі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жоспардың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орындалуы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немесе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керісінше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5FC36B8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 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Баланстық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әдіс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жоспар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көрсеткіштерін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тығыз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байланыстыру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барлық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пропорцияларды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құралы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болып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саналады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7CC1A31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Баланстың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математикалық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құндық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еңбек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ресурстары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сияқты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түрлері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бар.</w:t>
      </w:r>
    </w:p>
    <w:p w14:paraId="6C15B279" w14:textId="77777777" w:rsidR="00322823" w:rsidRPr="00322823" w:rsidRDefault="00322823" w:rsidP="00322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Еңбек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балансының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көптеген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экономика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сияларында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еңбек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ресурстарын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пайдалану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шаруашылығы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жанандырады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жұмысшыларды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жұмыспен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қамтамассыз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көрсеткіштерімен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анықталады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176CC2B9" w14:textId="77777777" w:rsidR="00322823" w:rsidRPr="00322823" w:rsidRDefault="00322823" w:rsidP="00322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Құндық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баланстар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арқылы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қоғамдық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жиынтық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өкілі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ұлттық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бөлудегі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дұрыс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пропорцияларды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276E2F0" w14:textId="77777777" w:rsidR="00322823" w:rsidRPr="00322823" w:rsidRDefault="00322823" w:rsidP="00322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Жоспардың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тұрғысынан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оптималды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варианттарын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анықтау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математикалық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құбылыстардың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математикалық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модельдерді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65ECDFB6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Осылармен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қоса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статистикалық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әдістерінде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орны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ерекше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B4F30BE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>         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Статистикалық</w:t>
      </w:r>
      <w:proofErr w:type="spellEnd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b/>
          <w:bCs/>
          <w:color w:val="333333"/>
          <w:lang w:eastAsia="ru-RU"/>
        </w:rPr>
        <w:t>әдіс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индекстерді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есептеу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ұқсас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талдау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жасау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менеджментте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кеңінен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қолданылады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80DCAE1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ҚР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Конститутциясында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бастамалары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мен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әрекеті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бекітілген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қоса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Республикасының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субъектілеріне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қалалр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аудандар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ауылдарда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lastRenderedPageBreak/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жүйесі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түрлі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өзінше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бөлек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жүйесі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яғни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мемлекеттік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биліктің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тармағы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: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заң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шығарушы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атқарушы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сот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билігінен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мүлдем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бөлек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042CFC20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Бүгінгі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күні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аудандарын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Республикаларының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обылыстарының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жүйесіне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тиімділігі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құрылымын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нәтижелілігімен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анықталады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барлық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субъсидияда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облыстарда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деңгейлерде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аппаратын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қысқарту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процесі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жүргенде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CD0F7B2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мына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түйіндіріледі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:</w:t>
      </w:r>
    </w:p>
    <w:p w14:paraId="07BB379E" w14:textId="77777777" w:rsidR="00322823" w:rsidRPr="00322823" w:rsidRDefault="00322823" w:rsidP="00322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аппараты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санының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тым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көптігі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451549B" w14:textId="77777777" w:rsidR="00322823" w:rsidRPr="00322823" w:rsidRDefault="00322823" w:rsidP="00322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қызметкерлерінің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бытранқылығы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2F279E98" w14:textId="77777777" w:rsidR="00322823" w:rsidRPr="00322823" w:rsidRDefault="00322823" w:rsidP="00322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аппаратын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ұстаудағы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қаржы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қаражатын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жетіспеуі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1DFBF05B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Көптеген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экономистердің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ойынша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кеткен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шығындардың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V,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табыстарынан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10 %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аспауы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керек.</w:t>
      </w:r>
    </w:p>
    <w:p w14:paraId="6540A34E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Соңғы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уақытта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қадамдарғы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оңға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қарай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жаттуда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:</w:t>
      </w:r>
    </w:p>
    <w:p w14:paraId="7BC5D5C7" w14:textId="77777777" w:rsidR="00322823" w:rsidRPr="00322823" w:rsidRDefault="00322823" w:rsidP="00322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Әмшілік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жазаға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тартудың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азаюы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6FA72974" w14:textId="77777777" w:rsidR="00322823" w:rsidRPr="00322823" w:rsidRDefault="00322823" w:rsidP="00322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Басшылықтың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елмен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араласпауы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елдің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ойын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тыңдауы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7AEE3236" w14:textId="77777777" w:rsidR="00322823" w:rsidRPr="00322823" w:rsidRDefault="00322823" w:rsidP="00322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түрлі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сұрақтарды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шешудегі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мәденит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қазыналарын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жасауы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1F093130" w14:textId="77777777" w:rsidR="00322823" w:rsidRPr="00322823" w:rsidRDefault="00322823" w:rsidP="00322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lang w:eastAsia="ru-RU"/>
        </w:rPr>
      </w:pP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қағаздарын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жаңаруы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түрлі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нұсқаулардың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азаюы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3EB0C3BF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Сондықтанда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қоғамдастықтың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тарихи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табиғи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демографиялық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т.б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жағдайларын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ескере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отырып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демократиялардын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одан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әрі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нығаюы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муниципалдылық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құрылымдарға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дамудың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алдын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ала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жасау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қоса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билікке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еркіндікті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беріп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өз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жерінін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толық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қатайыны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сияқты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дәрежеге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жеткізу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керек.</w:t>
      </w:r>
    </w:p>
    <w:p w14:paraId="1E5250E7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демакратияландырумен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юасқаруды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жетілдіру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де,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орталық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пен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арасындағы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басқару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қызметін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процесі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жүруі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56F67194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Әлеуметтік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салада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ішінде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зәру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адамдарға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атаулы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көмек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көрсету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жөніндегі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саясатын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жалғастыру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сонымен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қоса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қазіргі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байланысты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яғни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нарықтық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қағидаллар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негізінде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шешу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4770156E" w14:textId="77777777" w:rsidR="00322823" w:rsidRPr="00322823" w:rsidRDefault="00322823" w:rsidP="00322823">
      <w:pPr>
        <w:shd w:val="clear" w:color="auto" w:fill="FFFFFF"/>
        <w:spacing w:after="150" w:line="330" w:lineRule="atLeast"/>
        <w:rPr>
          <w:rFonts w:ascii="OpenSans" w:eastAsia="Times New Roman" w:hAnsi="OpenSans" w:cs="Times New Roman"/>
          <w:color w:val="333333"/>
          <w:lang w:eastAsia="ru-RU"/>
        </w:rPr>
      </w:pPr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        Экономика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саласында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–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аймақтардың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мүмкіндіктерін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қолдануыныз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арасындағы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еңбек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тиімді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бөліп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қана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қоймай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еңбек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күшін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орынды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жұмсай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білуінің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керек.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Аймақтарда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аудандарда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жергілікті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қоғамдастықтарда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экономика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сапалы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жаңа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табыстарға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жаландық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экономикаға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толықтай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қатысуды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қамтамасыз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ету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және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алдағы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жолдарда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жазғандай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бұл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істерге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қадамдарға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толық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еркіндік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пен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сенім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қажет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жергілкті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жерлердегі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жағдайларды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,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істің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қандай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жағдайда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екенің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 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сол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тұрғылықты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халықтың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артық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білетін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ешкімі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 xml:space="preserve"> </w:t>
      </w:r>
      <w:proofErr w:type="spellStart"/>
      <w:r w:rsidRPr="00322823">
        <w:rPr>
          <w:rFonts w:ascii="OpenSans" w:eastAsia="Times New Roman" w:hAnsi="OpenSans" w:cs="Times New Roman"/>
          <w:color w:val="333333"/>
          <w:lang w:eastAsia="ru-RU"/>
        </w:rPr>
        <w:t>жоқ</w:t>
      </w:r>
      <w:proofErr w:type="spellEnd"/>
      <w:r w:rsidRPr="00322823">
        <w:rPr>
          <w:rFonts w:ascii="OpenSans" w:eastAsia="Times New Roman" w:hAnsi="OpenSans" w:cs="Times New Roman"/>
          <w:color w:val="333333"/>
          <w:lang w:eastAsia="ru-RU"/>
        </w:rPr>
        <w:t>.</w:t>
      </w:r>
    </w:p>
    <w:p w14:paraId="5EDE3C0C" w14:textId="1E18FA95" w:rsidR="00F12C76" w:rsidRPr="00322823" w:rsidRDefault="00F12C76" w:rsidP="006C0B77">
      <w:pPr>
        <w:spacing w:after="0"/>
        <w:ind w:firstLine="709"/>
        <w:jc w:val="both"/>
      </w:pPr>
    </w:p>
    <w:p w14:paraId="1A740256" w14:textId="77777777" w:rsidR="00322823" w:rsidRDefault="00322823" w:rsidP="00C94C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7B3231" w14:textId="77777777" w:rsidR="00322823" w:rsidRDefault="00322823" w:rsidP="00C94C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54675F" w14:textId="6F8A5210" w:rsidR="00C94CA2" w:rsidRDefault="00C94CA2" w:rsidP="00C94C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ӘДЕБИЕТТЕР:</w:t>
      </w:r>
    </w:p>
    <w:p w14:paraId="6A18248B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3B44D5">
        <w:rPr>
          <w:rFonts w:ascii="Times New Roman" w:hAnsi="Times New Roman" w:cs="Times New Roman"/>
          <w:sz w:val="20"/>
          <w:szCs w:val="20"/>
          <w:lang w:val="kk-KZ"/>
        </w:rPr>
        <w:lastRenderedPageBreak/>
        <w:t>Негізгі әдебиеттер</w:t>
      </w:r>
      <w:r w:rsidRPr="003B44D5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B3ED957" w14:textId="77777777" w:rsidR="003B44D5" w:rsidRPr="003B44D5" w:rsidRDefault="003B44D5" w:rsidP="003B44D5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3B44D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7524A735" w14:textId="77777777" w:rsidR="003B44D5" w:rsidRPr="003B44D5" w:rsidRDefault="003B44D5" w:rsidP="003B44D5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1A2F9CD5" w14:textId="77777777" w:rsidR="003B44D5" w:rsidRPr="003B44D5" w:rsidRDefault="003B44D5" w:rsidP="003B44D5">
      <w:pPr>
        <w:numPr>
          <w:ilvl w:val="0"/>
          <w:numId w:val="12"/>
        </w:numPr>
        <w:tabs>
          <w:tab w:val="left" w:pos="39"/>
        </w:tabs>
        <w:spacing w:after="0" w:line="240" w:lineRule="auto"/>
        <w:ind w:left="59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FA06588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3B44D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763D731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3B44D5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0C4342E7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0B6A5211" w14:textId="77777777" w:rsidR="003B44D5" w:rsidRPr="003B44D5" w:rsidRDefault="003B44D5" w:rsidP="003B44D5">
      <w:pPr>
        <w:numPr>
          <w:ilvl w:val="0"/>
          <w:numId w:val="1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B44D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08DB07DB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55C92071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FEE7E9F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1B7C5EFF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D55302F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182642DC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0EDFA5DA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34EA4AF4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1B4A334E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3B44D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089F07D0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57FB6D2F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63988DDF" w14:textId="77777777" w:rsidR="003B44D5" w:rsidRPr="003B44D5" w:rsidRDefault="003B44D5" w:rsidP="003B44D5">
      <w:pPr>
        <w:numPr>
          <w:ilvl w:val="0"/>
          <w:numId w:val="1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B44D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6E879021" w14:textId="77777777" w:rsidR="003B44D5" w:rsidRPr="003B44D5" w:rsidRDefault="003B44D5" w:rsidP="003B44D5">
      <w:pPr>
        <w:numPr>
          <w:ilvl w:val="0"/>
          <w:numId w:val="1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B44D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61B1464F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68E33C82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3B44D5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70953212" w14:textId="77777777" w:rsidR="003B44D5" w:rsidRPr="003B44D5" w:rsidRDefault="003B44D5" w:rsidP="003B44D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3B44D5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6AEDD7E" w14:textId="77777777" w:rsidR="003B44D5" w:rsidRPr="003B44D5" w:rsidRDefault="003B44D5" w:rsidP="003B4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D73F57B" w14:textId="77777777" w:rsidR="003B44D5" w:rsidRPr="003B44D5" w:rsidRDefault="003B44D5" w:rsidP="003B4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49D26D6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BE7873B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C3BB1B6" w14:textId="77777777" w:rsidR="003B44D5" w:rsidRPr="003B44D5" w:rsidRDefault="003B44D5" w:rsidP="003B44D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91D4D56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342CBB41" w14:textId="77777777" w:rsidR="003B44D5" w:rsidRPr="003B44D5" w:rsidRDefault="003B44D5" w:rsidP="003B44D5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3186C61" w14:textId="77777777" w:rsidR="003B44D5" w:rsidRPr="003B44D5" w:rsidRDefault="003B44D5" w:rsidP="003B44D5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 w:rsidRPr="003B44D5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B028ED1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3C2DD000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491754E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1B4DFAFE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9A2AAF5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108533D3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lastRenderedPageBreak/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121EFAE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DF4D1BB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641EE5DF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10658E6E" w14:textId="77777777" w:rsidR="003B44D5" w:rsidRPr="003B44D5" w:rsidRDefault="003B44D5" w:rsidP="003B4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315D373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75DB32E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00AF9B5F" w14:textId="77777777" w:rsidR="003B44D5" w:rsidRPr="003B44D5" w:rsidRDefault="003B44D5" w:rsidP="003B44D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1"/>
    <w:p w14:paraId="6BE82CB4" w14:textId="77777777" w:rsidR="003B44D5" w:rsidRPr="003B44D5" w:rsidRDefault="003B44D5" w:rsidP="003B4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507E124" w14:textId="77777777" w:rsidR="003B44D5" w:rsidRPr="003B44D5" w:rsidRDefault="003B44D5" w:rsidP="003B4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5A54E8BC" w14:textId="77777777" w:rsidR="003B44D5" w:rsidRPr="003B44D5" w:rsidRDefault="003B44D5" w:rsidP="003B44D5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3B44D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 w:rsidRPr="003B44D5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06715927" w14:textId="77777777" w:rsidR="003B44D5" w:rsidRPr="003B44D5" w:rsidRDefault="003B44D5" w:rsidP="003B44D5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B44D5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 w:rsidRPr="003B44D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3B44D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0"/>
    <w:p w14:paraId="3F51F434" w14:textId="77777777" w:rsidR="00C94CA2" w:rsidRPr="00C94CA2" w:rsidRDefault="00C94CA2" w:rsidP="00C94CA2">
      <w:pPr>
        <w:ind w:firstLine="708"/>
        <w:rPr>
          <w:lang w:val="kk-KZ"/>
        </w:rPr>
      </w:pPr>
    </w:p>
    <w:sectPr w:rsidR="00C94CA2" w:rsidRPr="00C94C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759B"/>
    <w:multiLevelType w:val="hybridMultilevel"/>
    <w:tmpl w:val="27426CF6"/>
    <w:lvl w:ilvl="0" w:tplc="734C98EC">
      <w:start w:val="15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2E86"/>
    <w:multiLevelType w:val="hybridMultilevel"/>
    <w:tmpl w:val="0C348870"/>
    <w:lvl w:ilvl="0" w:tplc="E1A2C3D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875"/>
    <w:multiLevelType w:val="multilevel"/>
    <w:tmpl w:val="D6A2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11E60"/>
    <w:multiLevelType w:val="multilevel"/>
    <w:tmpl w:val="E3BE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D4A9B"/>
    <w:multiLevelType w:val="multilevel"/>
    <w:tmpl w:val="C00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952E3"/>
    <w:multiLevelType w:val="hybridMultilevel"/>
    <w:tmpl w:val="80A26C76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82466"/>
    <w:multiLevelType w:val="multilevel"/>
    <w:tmpl w:val="3BA6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3051267"/>
    <w:multiLevelType w:val="multilevel"/>
    <w:tmpl w:val="5A5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71ECE"/>
    <w:multiLevelType w:val="hybridMultilevel"/>
    <w:tmpl w:val="DB0C1242"/>
    <w:lvl w:ilvl="0" w:tplc="E85A5ECA">
      <w:start w:val="5"/>
      <w:numFmt w:val="decimal"/>
      <w:lvlText w:val="%1"/>
      <w:lvlJc w:val="left"/>
      <w:pPr>
        <w:ind w:left="1440" w:hanging="360"/>
      </w:pPr>
      <w:rPr>
        <w:rFonts w:eastAsiaTheme="minorEastAsia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4006A5"/>
    <w:multiLevelType w:val="multilevel"/>
    <w:tmpl w:val="193C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02423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09831">
    <w:abstractNumId w:val="1"/>
  </w:num>
  <w:num w:numId="3" w16cid:durableId="1072777226">
    <w:abstractNumId w:val="6"/>
  </w:num>
  <w:num w:numId="4" w16cid:durableId="221597990">
    <w:abstractNumId w:val="2"/>
  </w:num>
  <w:num w:numId="5" w16cid:durableId="866332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359950">
    <w:abstractNumId w:val="3"/>
  </w:num>
  <w:num w:numId="7" w16cid:durableId="209341366">
    <w:abstractNumId w:val="9"/>
  </w:num>
  <w:num w:numId="8" w16cid:durableId="1418669334">
    <w:abstractNumId w:val="11"/>
  </w:num>
  <w:num w:numId="9" w16cid:durableId="1553954723">
    <w:abstractNumId w:val="5"/>
  </w:num>
  <w:num w:numId="10" w16cid:durableId="1971014976">
    <w:abstractNumId w:val="7"/>
  </w:num>
  <w:num w:numId="11" w16cid:durableId="1418869231">
    <w:abstractNumId w:val="4"/>
  </w:num>
  <w:num w:numId="12" w16cid:durableId="1441953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20"/>
    <w:rsid w:val="00322823"/>
    <w:rsid w:val="00340B7E"/>
    <w:rsid w:val="003B44D5"/>
    <w:rsid w:val="00531FA2"/>
    <w:rsid w:val="00636E56"/>
    <w:rsid w:val="006C0B77"/>
    <w:rsid w:val="006F1C33"/>
    <w:rsid w:val="008242FF"/>
    <w:rsid w:val="00870751"/>
    <w:rsid w:val="00922C48"/>
    <w:rsid w:val="00B27020"/>
    <w:rsid w:val="00B915B7"/>
    <w:rsid w:val="00C94CA2"/>
    <w:rsid w:val="00D47086"/>
    <w:rsid w:val="00D603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6D26"/>
  <w15:chartTrackingRefBased/>
  <w15:docId w15:val="{5084FD21-8886-46E3-867E-B0E2DED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7E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C94CA2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9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8</cp:revision>
  <dcterms:created xsi:type="dcterms:W3CDTF">2022-06-23T10:35:00Z</dcterms:created>
  <dcterms:modified xsi:type="dcterms:W3CDTF">2024-09-06T10:10:00Z</dcterms:modified>
</cp:coreProperties>
</file>